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4" w:rsidRDefault="00213C56" w:rsidP="00213C56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0000"/>
          <w:sz w:val="72"/>
          <w:szCs w:val="72"/>
        </w:rPr>
      </w:pPr>
      <w:r>
        <w:rPr>
          <w:rFonts w:ascii="Calibri" w:hAnsi="Calibri" w:cs="Arial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5940425" cy="8175364"/>
            <wp:effectExtent l="0" t="0" r="0" b="0"/>
            <wp:docPr id="1" name="Рисунок 1" descr="C:\Users\Таймураз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047ECF" w:rsidRDefault="00047ECF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213C56" w:rsidRDefault="00213C56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Calibri" w:hAnsi="Calibri" w:cs="Arial"/>
          <w:b/>
          <w:bCs/>
          <w:color w:val="000000"/>
          <w:sz w:val="40"/>
          <w:szCs w:val="40"/>
        </w:rPr>
      </w:pPr>
    </w:p>
    <w:p w:rsidR="00213C56" w:rsidRDefault="00213C56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Рабочей программе соответствует учебник: Учебник: Н.Г.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Галунчиковой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; Э.В. Якубовской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«Русский язык»: Учебник для 6 классов специальных (коррекционных) общеобразовательных учреждений. – М., «Просвещение», 2012 г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Учебная программа по русскому языку и развитию речи для V-IX классов специальных (коррекционных) общеобразовательных школ VIII вида определяет содержание предмета и коррекционных курсов, последовательность его прохождения по годам обучения. Коррекционные и групповые занятия проводятся по индивидуальным планам. Программа учитывает особенности познавательной деятельности детей, обучающихся по программе 8 вида. Данная программа составлена на основе федерального компонента, что соответствует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школьному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Она направлена на 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Содержание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обучения по предметам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Развитие речи, мышления, воображения школьников, способности выбирать средства языка в соответствии с условиями общения.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044054" w:rsidRDefault="00044054" w:rsidP="000440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Овладеть речевой деятельностью в разных ее видах (чтение, письмо, говорение, слушание);</w:t>
      </w:r>
    </w:p>
    <w:p w:rsidR="00044054" w:rsidRDefault="00044054" w:rsidP="000440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044054" w:rsidRDefault="00044054" w:rsidP="000440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Обогащать словарный запас, умение пользоваться словарями разных типов;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Принцип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коррекционной направленности</w:t>
      </w:r>
      <w:r>
        <w:rPr>
          <w:rFonts w:ascii="Arial" w:hAnsi="Arial" w:cs="Arial"/>
          <w:color w:val="000000"/>
          <w:sz w:val="21"/>
          <w:szCs w:val="21"/>
        </w:rPr>
        <w:t> 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обеспечивает необходимую систематизацию знаний.  Программный материал расположен </w:t>
      </w:r>
      <w:r>
        <w:rPr>
          <w:rStyle w:val="a6"/>
          <w:rFonts w:ascii="Arial" w:hAnsi="Arial" w:cs="Arial"/>
          <w:color w:val="000000"/>
          <w:sz w:val="21"/>
          <w:szCs w:val="21"/>
        </w:rPr>
        <w:t>концентрически: </w:t>
      </w:r>
      <w:r>
        <w:rPr>
          <w:rFonts w:ascii="Arial" w:hAnsi="Arial" w:cs="Arial"/>
          <w:color w:val="000000"/>
          <w:sz w:val="21"/>
          <w:szCs w:val="21"/>
        </w:rPr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Формы организации учебного процесса.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</w:rPr>
        <w:t>Коммуникативно-речевая направленность</w:t>
      </w:r>
      <w:r>
        <w:rPr>
          <w:rFonts w:ascii="Arial" w:hAnsi="Arial" w:cs="Arial"/>
          <w:color w:val="000000"/>
          <w:sz w:val="21"/>
          <w:szCs w:val="21"/>
        </w:rPr>
        <w:t> 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последовательном изучении курса русского языка может быть использован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разноуровневый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работы.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конце каждой темы проводится контрольная работа.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Планируемые результаты изучения предмета.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Личностные:</w:t>
      </w:r>
      <w:r>
        <w:rPr>
          <w:color w:val="000000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их мотивации к обучению и целенаправленной познавательной деятельности,</w:t>
      </w:r>
      <w:r>
        <w:rPr>
          <w:rFonts w:ascii="Arial" w:hAnsi="Arial" w:cs="Arial"/>
          <w:color w:val="000000"/>
        </w:rPr>
        <w:t>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нравственное сознание и поведение на основе усвоения общечеловеческих ценностей;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отражают: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) </w:t>
      </w:r>
      <w:r>
        <w:rPr>
          <w:rStyle w:val="a6"/>
          <w:rFonts w:ascii="Arial" w:hAnsi="Arial" w:cs="Arial"/>
          <w:b w:val="0"/>
          <w:bCs w:val="0"/>
          <w:color w:val="000000"/>
        </w:rPr>
        <w:t>умение продуктивно общаться и взаимодействовать</w:t>
      </w: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Предметные: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Ученик научится:</w:t>
      </w:r>
    </w:p>
    <w:p w:rsidR="00044054" w:rsidRDefault="00044054" w:rsidP="000440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44054" w:rsidRDefault="00044054" w:rsidP="000440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владеть различными видами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участвовать в диалогическом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полилогическом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знание алфавита при поиске информации;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значимые и незначимые единицы языка;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фонетический и орфоэпический анализ слова;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членить слова на слоги и правильно их переносить;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морфемный и словообразовательный анализ слов;</w:t>
      </w:r>
    </w:p>
    <w:p w:rsidR="00044054" w:rsidRDefault="00044054" w:rsidP="000440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лексический анализ слова;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Ученик получит возможность научиться: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опознавать различные выразительные средства языка;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писать конспект, отзыв, тезисы, рефераты, доклады, доверенности и другие жанры;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участвовать в разных видах обсуждения, формулировать собственную позицию и аргументировать ее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привлекая сведения из жизненного и читательского опыта;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словообразовательные цепочки и словообразовательные гнезда;</w:t>
      </w:r>
    </w:p>
    <w:p w:rsidR="00044054" w:rsidRDefault="00044054" w:rsidP="00044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этимологические данные для объяснения правописания и лексического значения слова;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44054" w:rsidRDefault="00044054" w:rsidP="000440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материала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Звуки и буквы.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разделительным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ь. Двойные и непроизносимые согласные.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Слово 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 слова. Однокоренные слова. Корень, приставка, суффикс и окончание. Образование слов с помощью приставок и суффиксов.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Правописание проверяемых безударных гласных, звонких и глухих согласных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корне слов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Непроверяемые гласные и согласные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корне слов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Правописание приставок. Приставка и предлог. Разделительный ъ.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Правописание приставок с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 </w:t>
      </w:r>
      <w:r>
        <w:rPr>
          <w:rFonts w:ascii="Arial" w:hAnsi="Arial" w:cs="Arial"/>
          <w:color w:val="000000"/>
          <w:sz w:val="21"/>
          <w:szCs w:val="21"/>
        </w:rPr>
        <w:t>(от-, до-, по-, пр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за-, на-),приставка пере-, единообразное написание приставок на согласные вне зависимости от произношения(с-, в-, над-, под-, от-).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Части речи 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FD6150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Имя существительное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044054"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  <w:r w:rsidR="00044054">
        <w:rPr>
          <w:rFonts w:ascii="Arial" w:hAnsi="Arial" w:cs="Arial"/>
          <w:color w:val="000000"/>
          <w:sz w:val="21"/>
          <w:szCs w:val="21"/>
        </w:rPr>
        <w:t> Значение имени существительного и его основные грамматические признаки: род, число, падеж.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Правописание падежных окончаний имен существительных единственного числа.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женского и среднего рода с основой на шипящий.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Имя прилагательное</w:t>
      </w:r>
      <w:r>
        <w:rPr>
          <w:rFonts w:ascii="Arial" w:hAnsi="Arial" w:cs="Arial"/>
          <w:color w:val="000000"/>
          <w:sz w:val="21"/>
          <w:szCs w:val="21"/>
        </w:rPr>
        <w:t>. 39ч. Понятие об имени прилагательном. Значение имени прилагательного в речи.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Правописание падежных окончаний имен прилагательных в единственном и множественном числе.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Предложение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Простое предложение</w:t>
      </w:r>
      <w:r>
        <w:rPr>
          <w:rFonts w:ascii="Arial" w:hAnsi="Arial" w:cs="Arial"/>
          <w:color w:val="000000"/>
          <w:sz w:val="21"/>
          <w:szCs w:val="21"/>
        </w:rPr>
        <w:t xml:space="preserve">. Простое предложение с однородными членами. Главные и второстепенные члены предложения в качестве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однородных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Перечисление без союзов, с одиночным союзом и, с союзами а, но. Знаки препинания при однородных членах.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Сложное предложение</w:t>
      </w:r>
      <w:r>
        <w:rPr>
          <w:rFonts w:ascii="Arial" w:hAnsi="Arial" w:cs="Arial"/>
          <w:color w:val="000000"/>
          <w:sz w:val="21"/>
          <w:szCs w:val="21"/>
        </w:rPr>
        <w:t>. Сложные предложения с союзами и, а, но. Знаки препинания перед союзами.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Практическое употребление обращения. Знаки препинания при обращении.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Связная речь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Упражнения в связной письменной речи даются в процессе всего программного материала по русскому языку)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деформированным текстом.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Распространение текста путем включения в него имен прилагательных.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рассказа по картине по коллективно составленному плану.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рассказа по картине и данному началу с включением в рассказ имен прилагательных.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рассказа по опорным словам и данному плану.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рассказа с помощью учителя по предложенным темам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044054" w:rsidRDefault="00044054" w:rsidP="000440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Деловое письмо: письмо товарищу, заметка в стенгазету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проведенных мероприятиях в классе, хороших и плохих поступках детей и др.), объявление ( о предстоящих внеклассных и школьных мероприятиях).</w:t>
      </w:r>
    </w:p>
    <w:p w:rsidR="00044054" w:rsidRDefault="00044054" w:rsidP="00DB65D0">
      <w:pPr>
        <w:spacing w:after="0" w:line="240" w:lineRule="auto"/>
        <w:ind w:firstLine="709"/>
        <w:jc w:val="center"/>
        <w:rPr>
          <w:b/>
          <w:bCs/>
          <w:szCs w:val="24"/>
          <w:u w:val="single"/>
        </w:rPr>
      </w:pPr>
    </w:p>
    <w:p w:rsidR="00044054" w:rsidRDefault="00044054" w:rsidP="00DB65D0">
      <w:pPr>
        <w:spacing w:after="0" w:line="240" w:lineRule="auto"/>
        <w:ind w:firstLine="709"/>
        <w:jc w:val="center"/>
        <w:rPr>
          <w:b/>
          <w:bCs/>
          <w:szCs w:val="24"/>
          <w:u w:val="single"/>
        </w:rPr>
      </w:pPr>
    </w:p>
    <w:p w:rsidR="00DB65D0" w:rsidRDefault="00DB65D0" w:rsidP="00DB65D0">
      <w:pPr>
        <w:spacing w:line="240" w:lineRule="auto"/>
        <w:ind w:firstLine="709"/>
        <w:rPr>
          <w:szCs w:val="24"/>
        </w:rPr>
      </w:pPr>
      <w:proofErr w:type="gramStart"/>
      <w:r>
        <w:rPr>
          <w:sz w:val="27"/>
          <w:szCs w:val="27"/>
        </w:rPr>
        <w:t>На освоение программы в 6 классе по адаптированной общей образовательной программе отведено 34 часа в год, т.е. 1 час в неделю (в том числе на контрольные диктанты – 1, сочинений – 1, контрольных работ – 2, изложения – 1, словарный диктант – 2</w:t>
      </w:r>
      <w:proofErr w:type="gramEnd"/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p w:rsidR="00DB65D0" w:rsidRDefault="00DB65D0" w:rsidP="00DB65D0">
      <w:pPr>
        <w:rPr>
          <w:szCs w:val="24"/>
        </w:rPr>
      </w:pP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991"/>
        <w:gridCol w:w="1133"/>
        <w:gridCol w:w="1133"/>
        <w:gridCol w:w="1701"/>
        <w:gridCol w:w="1558"/>
      </w:tblGrid>
      <w:tr w:rsidR="00DB65D0" w:rsidTr="00DB65D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0" w:rsidRDefault="00DB65D0">
            <w:pPr>
              <w:snapToGrid w:val="0"/>
              <w:spacing w:after="120" w:line="240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№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0" w:rsidRDefault="00DB65D0">
            <w:pPr>
              <w:snapToGrid w:val="0"/>
              <w:spacing w:after="120" w:line="240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Название раздела, темы.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0" w:rsidRDefault="00DB65D0">
            <w:pPr>
              <w:snapToGrid w:val="0"/>
              <w:spacing w:after="120" w:line="240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0" w:rsidRDefault="00DB65D0">
            <w:pPr>
              <w:spacing w:after="120" w:line="240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Даты проведения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65D0" w:rsidRDefault="00DB65D0">
            <w:pPr>
              <w:spacing w:after="120" w:line="240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Коррекционная работа</w:t>
            </w:r>
          </w:p>
        </w:tc>
      </w:tr>
      <w:tr w:rsidR="00DB65D0" w:rsidTr="00DB65D0">
        <w:trPr>
          <w:gridAfter w:val="1"/>
          <w:wAfter w:w="1559" w:type="dxa"/>
          <w:trHeight w:val="308"/>
        </w:trPr>
        <w:tc>
          <w:tcPr>
            <w:tcW w:w="10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20" w:line="240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5D0" w:rsidRDefault="00DB65D0">
            <w:pPr>
              <w:spacing w:after="120" w:line="240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65D0" w:rsidTr="00DB65D0">
        <w:trPr>
          <w:gridAfter w:val="1"/>
          <w:wAfter w:w="1559" w:type="dxa"/>
          <w:trHeight w:val="802"/>
        </w:trPr>
        <w:tc>
          <w:tcPr>
            <w:tcW w:w="10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0" w:rsidRDefault="00DB65D0">
            <w:pPr>
              <w:spacing w:after="120" w:line="240" w:lineRule="auto"/>
              <w:ind w:right="-18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0" w:rsidRDefault="00DB65D0">
            <w:pPr>
              <w:spacing w:after="120" w:line="240" w:lineRule="auto"/>
              <w:ind w:right="-250"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факт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5D0" w:rsidRDefault="00D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65D0" w:rsidTr="00DB65D0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0" w:rsidRDefault="00DB65D0">
            <w:pPr>
              <w:spacing w:after="0" w:line="240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Повторение. </w:t>
            </w:r>
          </w:p>
        </w:tc>
      </w:tr>
    </w:tbl>
    <w:p w:rsidR="00DB65D0" w:rsidRDefault="00DB65D0" w:rsidP="00DB65D0">
      <w:pPr>
        <w:rPr>
          <w:rFonts w:eastAsia="Times New Roman"/>
          <w:color w:val="000000"/>
        </w:rPr>
      </w:pPr>
    </w:p>
    <w:tbl>
      <w:tblPr>
        <w:tblStyle w:val="a4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992"/>
        <w:gridCol w:w="1133"/>
        <w:gridCol w:w="1133"/>
        <w:gridCol w:w="3259"/>
      </w:tblGrid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Гласные и согласные. Их различие.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Коррекция фонематического слуха. 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Безударные гласные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Сомнительные звонкие и глухие согласные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Текст. Части текста. Красная строка.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Коррекция внимания, речи, слуха.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a3"/>
              <w:rPr>
                <w:b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szCs w:val="24"/>
              </w:rPr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Деление текста на предложения.  Выделение главных и второстепенных членов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Cs w:val="24"/>
              </w:rPr>
              <w:t>Деление текста на части, развитие письменной речи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Нераспространенные и распространенные </w:t>
            </w:r>
            <w:r>
              <w:rPr>
                <w:szCs w:val="24"/>
              </w:rPr>
              <w:lastRenderedPageBreak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</w:t>
            </w:r>
            <w:r>
              <w:rPr>
                <w:rStyle w:val="c14"/>
                <w:color w:val="000000"/>
              </w:rPr>
              <w:lastRenderedPageBreak/>
              <w:t xml:space="preserve">слуха, расширение  знаний об окружающем мире </w:t>
            </w:r>
            <w:proofErr w:type="gramStart"/>
            <w:r>
              <w:rPr>
                <w:rStyle w:val="c14"/>
                <w:color w:val="000000"/>
              </w:rPr>
              <w:t>через</w:t>
            </w:r>
            <w:proofErr w:type="gramEnd"/>
          </w:p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распространение предложений.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176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мире. </w:t>
            </w:r>
          </w:p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Контрольный диктант по теме «</w:t>
            </w:r>
            <w:proofErr w:type="spellStart"/>
            <w:r>
              <w:rPr>
                <w:b/>
                <w:szCs w:val="24"/>
              </w:rPr>
              <w:t>Предложение»</w:t>
            </w:r>
            <w:proofErr w:type="gramStart"/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абота</w:t>
            </w:r>
            <w:proofErr w:type="spellEnd"/>
            <w:r>
              <w:rPr>
                <w:szCs w:val="24"/>
              </w:rPr>
              <w:t xml:space="preserve">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Подбор слов по схемам.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szCs w:val="24"/>
              </w:rPr>
              <w:t>Состав слова.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Корень и 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Составление собственного текста.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szCs w:val="24"/>
              </w:rPr>
              <w:t>Окончание как изменяемая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  <w:r>
              <w:rPr>
                <w:rStyle w:val="c14"/>
                <w:sz w:val="20"/>
                <w:szCs w:val="20"/>
              </w:rPr>
              <w:t>.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szCs w:val="24"/>
              </w:rPr>
              <w:t>Приставка как часть слова. Суффикс как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мире. 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Разбор слов по составу. Правописание приставок. Приставка и предлог.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Подбор слов по схемам.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Составление собственного текста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Разделительный твердый знак в словах с приставками.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 </w:t>
            </w:r>
            <w:proofErr w:type="gramStart"/>
            <w:r>
              <w:rPr>
                <w:rStyle w:val="c14"/>
                <w:color w:val="000000"/>
              </w:rPr>
              <w:t>через</w:t>
            </w:r>
            <w:proofErr w:type="gramEnd"/>
          </w:p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распространение предложений.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Контрольная работа по теме «Состав слова». </w:t>
            </w:r>
            <w:r>
              <w:rPr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Подбор слов по схемам.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Части речи.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Существительное, прилагательное,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Cs w:val="24"/>
              </w:rPr>
              <w:t>Деление текста на части, развитие письменной речи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Различение существительных, прилагательных и глаголов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Составление собственного текста.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Значение существительных в речи. Изменение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Изменение существительных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Существительные собственные и нарицательные. Кавычки в именах собственных.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памяти, фонематического слуха, расширение  знаний об окружающем мире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Имя существительное. Закрепление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мире. 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Понятие о склонении.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Текст. Подтверждение основной мысли текста дополнительными фактами.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Составление собственного текста.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Сочинение.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4"/>
                <w:color w:val="000000"/>
              </w:rPr>
              <w:t>Составление собственного текста.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Значение прилагательных в речи. Понятие о склонении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Изменение прилагательных по родам.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391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Изменение прилагательных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мире. 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Значение глагола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Различение существительных, прилагательных и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Изменение глагола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 xml:space="preserve">Коррекция внимания, речи, памяти, фонематического слуха, расширение  знаний об окружающем мире. 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  <w:p w:rsidR="00DB65D0" w:rsidRDefault="00DB65D0">
            <w:pPr>
              <w:pStyle w:val="a3"/>
              <w:snapToGrid w:val="0"/>
              <w:spacing w:after="120"/>
              <w:ind w:right="-249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Различение повествовательных, вопросительных и восклицательных предложений. 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Обращение. Знакомство с обращением.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Pr="00283AB6" w:rsidRDefault="00DB65D0" w:rsidP="00283AB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  <w:p w:rsidR="00DB65D0" w:rsidRDefault="00DB65D0">
            <w:pPr>
              <w:pStyle w:val="a3"/>
              <w:snapToGrid w:val="0"/>
              <w:spacing w:after="120"/>
              <w:ind w:right="-249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>Повторение</w:t>
            </w:r>
            <w:proofErr w:type="gramStart"/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ind w:firstLine="176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szCs w:val="24"/>
              </w:rPr>
              <w:t>Совершенствование орфографической зоркости</w:t>
            </w:r>
          </w:p>
          <w:p w:rsidR="00DB65D0" w:rsidRDefault="00DB65D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Развитие слухового внимания</w:t>
            </w:r>
          </w:p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5D0" w:rsidTr="00DB6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 w:rsidP="001E7266">
            <w:pPr>
              <w:pStyle w:val="a3"/>
              <w:numPr>
                <w:ilvl w:val="0"/>
                <w:numId w:val="1"/>
              </w:numPr>
              <w:snapToGrid w:val="0"/>
              <w:spacing w:after="120" w:line="240" w:lineRule="auto"/>
              <w:ind w:right="-249"/>
              <w:jc w:val="left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napToGrid w:val="0"/>
              <w:spacing w:after="120" w:line="266" w:lineRule="auto"/>
              <w:ind w:right="53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Итоговая контрольная  работа. </w:t>
            </w:r>
            <w:r>
              <w:rPr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0" w:rsidRDefault="00DB65D0">
            <w:pPr>
              <w:spacing w:after="14" w:line="266" w:lineRule="auto"/>
              <w:ind w:right="537"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4"/>
              </w:rPr>
              <w:t>Коррекция внимания, речи, памяти</w:t>
            </w:r>
          </w:p>
        </w:tc>
      </w:tr>
    </w:tbl>
    <w:p w:rsidR="00DB65D0" w:rsidRDefault="00DB65D0" w:rsidP="00DB65D0">
      <w:pPr>
        <w:rPr>
          <w:rFonts w:eastAsia="Times New Roman"/>
          <w:color w:val="000000"/>
        </w:rPr>
      </w:pPr>
    </w:p>
    <w:p w:rsidR="00DB65D0" w:rsidRDefault="00DB65D0" w:rsidP="00DB65D0"/>
    <w:p w:rsidR="00DB65D0" w:rsidRDefault="00DB65D0" w:rsidP="00DB65D0"/>
    <w:p w:rsidR="00DB65D0" w:rsidRDefault="00DB65D0" w:rsidP="00DB65D0">
      <w:pPr>
        <w:jc w:val="center"/>
        <w:rPr>
          <w:szCs w:val="24"/>
        </w:rPr>
      </w:pPr>
    </w:p>
    <w:p w:rsidR="00E87C93" w:rsidRDefault="00E87C93"/>
    <w:sectPr w:rsidR="00E8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BA" w:rsidRDefault="00DD37BA" w:rsidP="00283AB6">
      <w:pPr>
        <w:spacing w:after="0" w:line="240" w:lineRule="auto"/>
      </w:pPr>
      <w:r>
        <w:separator/>
      </w:r>
    </w:p>
  </w:endnote>
  <w:endnote w:type="continuationSeparator" w:id="0">
    <w:p w:rsidR="00DD37BA" w:rsidRDefault="00DD37BA" w:rsidP="0028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BA" w:rsidRDefault="00DD37BA" w:rsidP="00283AB6">
      <w:pPr>
        <w:spacing w:after="0" w:line="240" w:lineRule="auto"/>
      </w:pPr>
      <w:r>
        <w:separator/>
      </w:r>
    </w:p>
  </w:footnote>
  <w:footnote w:type="continuationSeparator" w:id="0">
    <w:p w:rsidR="00DD37BA" w:rsidRDefault="00DD37BA" w:rsidP="0028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A1"/>
    <w:multiLevelType w:val="multilevel"/>
    <w:tmpl w:val="4490A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F7CA1"/>
    <w:multiLevelType w:val="multilevel"/>
    <w:tmpl w:val="E4320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7708E"/>
    <w:multiLevelType w:val="multilevel"/>
    <w:tmpl w:val="8DD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523C7"/>
    <w:multiLevelType w:val="hybridMultilevel"/>
    <w:tmpl w:val="52F4B582"/>
    <w:lvl w:ilvl="0" w:tplc="69D6D29C">
      <w:start w:val="2020"/>
      <w:numFmt w:val="decimal"/>
      <w:lvlText w:val="%1"/>
      <w:lvlJc w:val="left"/>
      <w:pPr>
        <w:ind w:left="1020" w:hanging="660"/>
      </w:pPr>
      <w:rPr>
        <w:rFonts w:ascii="Calibri" w:hAnsi="Calibr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71DB"/>
    <w:multiLevelType w:val="multilevel"/>
    <w:tmpl w:val="40F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94A8F"/>
    <w:multiLevelType w:val="multilevel"/>
    <w:tmpl w:val="3CA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C10AB"/>
    <w:multiLevelType w:val="multilevel"/>
    <w:tmpl w:val="291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D18CA"/>
    <w:multiLevelType w:val="hybridMultilevel"/>
    <w:tmpl w:val="53E4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22155"/>
    <w:multiLevelType w:val="multilevel"/>
    <w:tmpl w:val="E9B2E1BE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9">
    <w:nsid w:val="78756A10"/>
    <w:multiLevelType w:val="multilevel"/>
    <w:tmpl w:val="8E2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5D0"/>
    <w:rsid w:val="00044054"/>
    <w:rsid w:val="00047ECF"/>
    <w:rsid w:val="00213C56"/>
    <w:rsid w:val="002541F3"/>
    <w:rsid w:val="00283AB6"/>
    <w:rsid w:val="00342B6A"/>
    <w:rsid w:val="00AA6725"/>
    <w:rsid w:val="00DB65D0"/>
    <w:rsid w:val="00DD37BA"/>
    <w:rsid w:val="00E87C93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D0"/>
    <w:pPr>
      <w:spacing w:after="14" w:line="266" w:lineRule="auto"/>
      <w:ind w:left="720" w:right="537" w:firstLine="70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6">
    <w:name w:val="c6"/>
    <w:basedOn w:val="a"/>
    <w:rsid w:val="00DB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B65D0"/>
  </w:style>
  <w:style w:type="table" w:styleId="a4">
    <w:name w:val="Table Grid"/>
    <w:basedOn w:val="a1"/>
    <w:uiPriority w:val="59"/>
    <w:rsid w:val="00DB65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4054"/>
    <w:rPr>
      <w:b/>
      <w:bCs/>
    </w:rPr>
  </w:style>
  <w:style w:type="paragraph" w:styleId="a7">
    <w:name w:val="header"/>
    <w:basedOn w:val="a"/>
    <w:link w:val="a8"/>
    <w:uiPriority w:val="99"/>
    <w:unhideWhenUsed/>
    <w:rsid w:val="0028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AB6"/>
  </w:style>
  <w:style w:type="paragraph" w:styleId="a9">
    <w:name w:val="footer"/>
    <w:basedOn w:val="a"/>
    <w:link w:val="aa"/>
    <w:uiPriority w:val="99"/>
    <w:unhideWhenUsed/>
    <w:rsid w:val="0028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AB6"/>
  </w:style>
  <w:style w:type="paragraph" w:styleId="ab">
    <w:name w:val="Balloon Text"/>
    <w:basedOn w:val="a"/>
    <w:link w:val="ac"/>
    <w:uiPriority w:val="99"/>
    <w:semiHidden/>
    <w:unhideWhenUsed/>
    <w:rsid w:val="000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Зангиев Таймураз</cp:lastModifiedBy>
  <cp:revision>10</cp:revision>
  <cp:lastPrinted>2021-02-10T04:31:00Z</cp:lastPrinted>
  <dcterms:created xsi:type="dcterms:W3CDTF">2019-10-30T17:07:00Z</dcterms:created>
  <dcterms:modified xsi:type="dcterms:W3CDTF">2021-02-10T04:34:00Z</dcterms:modified>
</cp:coreProperties>
</file>